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00" w:lineRule="exact"/>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（2017）</w:t>
      </w:r>
    </w:p>
    <w:tbl>
      <w:tblPr>
        <w:tblStyle w:val="24"/>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425"/>
        <w:gridCol w:w="425"/>
        <w:gridCol w:w="42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p>
          <w:p>
            <w:pPr>
              <w:spacing w:line="240" w:lineRule="exact"/>
              <w:jc w:val="center"/>
              <w:rPr>
                <w:rFonts w:eastAsia="黑体"/>
                <w:b/>
                <w:bCs/>
                <w:kern w:val="0"/>
                <w:szCs w:val="21"/>
              </w:rPr>
            </w:pPr>
            <w:r>
              <w:rPr>
                <w:rFonts w:hint="eastAsia" w:eastAsia="黑体"/>
                <w:b/>
                <w:bCs/>
                <w:kern w:val="0"/>
                <w:szCs w:val="21"/>
              </w:rPr>
              <w:t>合</w:t>
            </w:r>
          </w:p>
        </w:tc>
        <w:tc>
          <w:tcPr>
            <w:tcW w:w="425" w:type="dxa"/>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符</w:t>
            </w:r>
          </w:p>
          <w:p>
            <w:pPr>
              <w:spacing w:line="240" w:lineRule="exact"/>
              <w:jc w:val="center"/>
              <w:rPr>
                <w:rFonts w:eastAsia="黑体"/>
                <w:b/>
                <w:bCs/>
                <w:kern w:val="0"/>
                <w:szCs w:val="21"/>
              </w:rPr>
            </w:pPr>
            <w:r>
              <w:rPr>
                <w:rFonts w:hint="eastAsia" w:eastAsia="黑体"/>
                <w:b/>
                <w:bCs/>
                <w:kern w:val="0"/>
                <w:szCs w:val="21"/>
              </w:rPr>
              <w:t>合</w:t>
            </w:r>
          </w:p>
        </w:tc>
        <w:tc>
          <w:tcPr>
            <w:tcW w:w="426" w:type="dxa"/>
            <w:tcMar>
              <w:left w:w="45" w:type="dxa"/>
              <w:right w:w="45" w:type="dxa"/>
            </w:tcMar>
            <w:vAlign w:val="center"/>
          </w:tcPr>
          <w:p>
            <w:pPr>
              <w:spacing w:line="240" w:lineRule="exact"/>
              <w:jc w:val="center"/>
              <w:rPr>
                <w:rFonts w:eastAsia="黑体"/>
                <w:b/>
                <w:bCs/>
                <w:kern w:val="0"/>
                <w:szCs w:val="21"/>
              </w:rPr>
            </w:pPr>
            <w:r>
              <w:rPr>
                <w:rFonts w:hint="eastAsia" w:eastAsia="黑体"/>
                <w:b/>
                <w:bCs/>
                <w:kern w:val="0"/>
                <w:szCs w:val="21"/>
              </w:rPr>
              <w:t>不</w:t>
            </w:r>
          </w:p>
          <w:p>
            <w:pPr>
              <w:spacing w:line="240" w:lineRule="exact"/>
              <w:jc w:val="center"/>
              <w:rPr>
                <w:rFonts w:eastAsia="黑体"/>
                <w:b/>
                <w:bCs/>
                <w:kern w:val="0"/>
                <w:szCs w:val="21"/>
              </w:rPr>
            </w:pPr>
            <w:r>
              <w:rPr>
                <w:rFonts w:hint="eastAsia" w:eastAsia="黑体"/>
                <w:b/>
                <w:bCs/>
                <w:kern w:val="0"/>
                <w:szCs w:val="21"/>
              </w:rPr>
              <w:t>适</w:t>
            </w:r>
          </w:p>
          <w:p>
            <w:pPr>
              <w:spacing w:line="240" w:lineRule="exact"/>
              <w:jc w:val="center"/>
              <w:rPr>
                <w:rFonts w:eastAsia="黑体"/>
                <w:b/>
                <w:bCs/>
                <w:kern w:val="0"/>
                <w:szCs w:val="21"/>
              </w:rPr>
            </w:pPr>
            <w:r>
              <w:rPr>
                <w:rFonts w:hint="eastAsia" w:eastAsia="黑体"/>
                <w:b/>
                <w:bCs/>
                <w:kern w:val="0"/>
                <w:szCs w:val="21"/>
              </w:rPr>
              <w:t>用</w:t>
            </w:r>
          </w:p>
        </w:tc>
        <w:tc>
          <w:tcPr>
            <w:tcW w:w="326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设实验室安全管理科室（3万学生规模以上且仪器设备总值超过3亿元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rFonts w:hint="eastAsia" w:eastAsia="等线"/>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szCs w:val="21"/>
              </w:rPr>
            </w:pPr>
            <w:r>
              <w:rPr>
                <w:rFonts w:hint="eastAsia" w:eastAsia="等线"/>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widowControl/>
              <w:spacing w:line="300" w:lineRule="exact"/>
              <w:jc w:val="center"/>
              <w:rPr>
                <w:bCs/>
                <w:szCs w:val="21"/>
              </w:rPr>
            </w:pPr>
          </w:p>
        </w:tc>
        <w:tc>
          <w:tcPr>
            <w:tcW w:w="425" w:type="dxa"/>
            <w:vAlign w:val="center"/>
          </w:tcPr>
          <w:p>
            <w:pPr>
              <w:widowControl/>
              <w:spacing w:line="300" w:lineRule="exact"/>
              <w:jc w:val="center"/>
              <w:rPr>
                <w:bCs/>
                <w:szCs w:val="21"/>
              </w:rPr>
            </w:pPr>
          </w:p>
        </w:tc>
        <w:tc>
          <w:tcPr>
            <w:tcW w:w="426" w:type="dxa"/>
            <w:vAlign w:val="center"/>
          </w:tcPr>
          <w:p>
            <w:pPr>
              <w:widowControl/>
              <w:spacing w:line="300" w:lineRule="exact"/>
              <w:jc w:val="center"/>
              <w:rPr>
                <w:bCs/>
                <w:szCs w:val="21"/>
              </w:rPr>
            </w:pPr>
          </w:p>
        </w:tc>
        <w:tc>
          <w:tcPr>
            <w:tcW w:w="326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rFonts w:eastAsia="等线"/>
                <w:szCs w:val="21"/>
              </w:rPr>
            </w:pPr>
            <w:r>
              <w:rPr>
                <w:rFonts w:hint="eastAsia" w:eastAsia="等线"/>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等线"/>
                <w:color w:val="000000" w:themeColor="text1"/>
                <w:szCs w:val="21"/>
              </w:rPr>
            </w:pPr>
            <w:r>
              <w:rPr>
                <w:rFonts w:hint="eastAsia" w:eastAsia="等线"/>
                <w:color w:val="000000" w:themeColor="text1"/>
                <w:szCs w:val="21"/>
              </w:rPr>
              <w:t>5</w:t>
            </w:r>
            <w:r>
              <w:rPr>
                <w:rFonts w:eastAsia="等线"/>
                <w:color w:val="000000" w:themeColor="text1"/>
                <w:szCs w:val="21"/>
              </w:rPr>
              <w:t>.4.7</w:t>
            </w:r>
          </w:p>
        </w:tc>
        <w:tc>
          <w:tcPr>
            <w:tcW w:w="5810" w:type="dxa"/>
            <w:shd w:val="clear" w:color="auto" w:fill="auto"/>
            <w:tcMar>
              <w:left w:w="45" w:type="dxa"/>
              <w:right w:w="45" w:type="dxa"/>
            </w:tcMar>
            <w:vAlign w:val="center"/>
          </w:tcPr>
          <w:p>
            <w:pPr>
              <w:spacing w:line="300" w:lineRule="exact"/>
              <w:rPr>
                <w:color w:val="000000" w:themeColor="text1"/>
                <w:szCs w:val="21"/>
              </w:rPr>
            </w:pPr>
            <w:r>
              <w:rPr>
                <w:rFonts w:hint="eastAsia"/>
                <w:color w:val="000000" w:themeColor="text1"/>
                <w:szCs w:val="21"/>
              </w:rPr>
              <w:t>废弃</w:t>
            </w:r>
            <w:r>
              <w:rPr>
                <w:color w:val="000000" w:themeColor="text1"/>
                <w:szCs w:val="21"/>
              </w:rPr>
              <w:t>不用的实验室，需</w:t>
            </w:r>
            <w:r>
              <w:rPr>
                <w:rFonts w:hint="eastAsia"/>
                <w:color w:val="000000" w:themeColor="text1"/>
                <w:szCs w:val="21"/>
              </w:rPr>
              <w:t>明确</w:t>
            </w:r>
            <w:r>
              <w:rPr>
                <w:color w:val="000000" w:themeColor="text1"/>
                <w:szCs w:val="21"/>
              </w:rPr>
              <w:t>责任</w:t>
            </w:r>
            <w:r>
              <w:rPr>
                <w:rFonts w:hint="eastAsia"/>
                <w:color w:val="000000" w:themeColor="text1"/>
                <w:szCs w:val="21"/>
              </w:rPr>
              <w:t>落实</w:t>
            </w:r>
            <w:r>
              <w:rPr>
                <w:color w:val="000000" w:themeColor="text1"/>
                <w:szCs w:val="21"/>
              </w:rPr>
              <w:t>安全防范措施</w:t>
            </w:r>
            <w:r>
              <w:rPr>
                <w:rFonts w:hint="eastAsia"/>
                <w:color w:val="000000" w:themeColor="text1"/>
                <w:szCs w:val="21"/>
              </w:rPr>
              <w:t>；具有</w:t>
            </w:r>
            <w:r>
              <w:rPr>
                <w:color w:val="000000" w:themeColor="text1"/>
                <w:szCs w:val="21"/>
              </w:rPr>
              <w:t>危险隐患的实验室及设备在拆除前必须做好安全论证</w:t>
            </w:r>
            <w:r>
              <w:rPr>
                <w:rFonts w:hint="eastAsia"/>
                <w:color w:val="000000" w:themeColor="text1"/>
                <w:szCs w:val="21"/>
              </w:rPr>
              <w:t>，</w:t>
            </w:r>
            <w:r>
              <w:rPr>
                <w:color w:val="000000" w:themeColor="text1"/>
                <w:szCs w:val="21"/>
              </w:rPr>
              <w:t>并认真实施</w:t>
            </w:r>
          </w:p>
        </w:tc>
        <w:tc>
          <w:tcPr>
            <w:tcW w:w="3260" w:type="dxa"/>
            <w:shd w:val="clear" w:color="auto" w:fill="auto"/>
            <w:tcMar>
              <w:left w:w="45" w:type="dxa"/>
              <w:right w:w="45" w:type="dxa"/>
            </w:tcMar>
            <w:vAlign w:val="center"/>
          </w:tcPr>
          <w:p>
            <w:pPr>
              <w:spacing w:line="300" w:lineRule="exact"/>
              <w:jc w:val="left"/>
              <w:rPr>
                <w:bCs/>
                <w:color w:val="000000" w:themeColor="text1"/>
                <w:szCs w:val="21"/>
              </w:rPr>
            </w:pPr>
            <w:r>
              <w:rPr>
                <w:rFonts w:hint="eastAsia"/>
                <w:bCs/>
                <w:color w:val="000000" w:themeColor="text1"/>
                <w:szCs w:val="21"/>
              </w:rPr>
              <w:t>查看现场</w:t>
            </w:r>
            <w:r>
              <w:rPr>
                <w:bCs/>
                <w:color w:val="000000" w:themeColor="text1"/>
                <w:szCs w:val="21"/>
              </w:rPr>
              <w:t>与资料</w:t>
            </w:r>
          </w:p>
        </w:tc>
        <w:tc>
          <w:tcPr>
            <w:tcW w:w="425" w:type="dxa"/>
            <w:tcMar>
              <w:left w:w="45" w:type="dxa"/>
              <w:right w:w="45" w:type="dxa"/>
            </w:tcMar>
            <w:vAlign w:val="center"/>
          </w:tcPr>
          <w:p>
            <w:pPr>
              <w:spacing w:line="300" w:lineRule="exact"/>
              <w:jc w:val="center"/>
              <w:rPr>
                <w:bCs/>
                <w:szCs w:val="21"/>
              </w:rPr>
            </w:pPr>
          </w:p>
        </w:tc>
        <w:tc>
          <w:tcPr>
            <w:tcW w:w="425" w:type="dxa"/>
            <w:vAlign w:val="center"/>
          </w:tcPr>
          <w:p>
            <w:pPr>
              <w:spacing w:line="300" w:lineRule="exact"/>
              <w:jc w:val="center"/>
              <w:rPr>
                <w:bCs/>
                <w:szCs w:val="21"/>
              </w:rPr>
            </w:pPr>
          </w:p>
        </w:tc>
        <w:tc>
          <w:tcPr>
            <w:tcW w:w="426" w:type="dxa"/>
            <w:vAlign w:val="center"/>
          </w:tcPr>
          <w:p>
            <w:pPr>
              <w:spacing w:line="300" w:lineRule="exact"/>
              <w:jc w:val="center"/>
              <w:rPr>
                <w:bCs/>
                <w:szCs w:val="21"/>
              </w:rPr>
            </w:pPr>
          </w:p>
        </w:tc>
        <w:tc>
          <w:tcPr>
            <w:tcW w:w="326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6.1</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w:t>
            </w:r>
            <w:r>
              <w:rPr>
                <w:rFonts w:hint="eastAsia" w:asciiTheme="minorEastAsia" w:hAnsiTheme="minorEastAsia" w:eastAsiaTheme="minorEastAsia"/>
                <w:kern w:val="0"/>
                <w:szCs w:val="21"/>
              </w:rPr>
              <w:t>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w:t>
            </w:r>
            <w:r>
              <w:rPr>
                <w:rFonts w:asciiTheme="minorEastAsia" w:hAnsiTheme="minorEastAsia" w:eastAsiaTheme="minorEastAsia"/>
                <w:kern w:val="0"/>
                <w:szCs w:val="21"/>
              </w:rPr>
              <w:t>.1.5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6.2</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6.3</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6.3.</w:t>
            </w:r>
            <w:r>
              <w:rPr>
                <w:rFonts w:asciiTheme="minorEastAsia" w:hAnsiTheme="minorEastAsia" w:eastAsiaTheme="minorEastAsia"/>
                <w:kern w:val="0"/>
                <w:szCs w:val="21"/>
              </w:rPr>
              <w:t>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6.4</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425" w:type="dxa"/>
            <w:vAlign w:val="center"/>
          </w:tcPr>
          <w:p>
            <w:pPr>
              <w:widowControl/>
              <w:spacing w:line="300" w:lineRule="exact"/>
              <w:jc w:val="center"/>
              <w:rPr>
                <w:rFonts w:asciiTheme="minorEastAsia" w:hAnsiTheme="minorEastAsia" w:eastAsiaTheme="minorEastAsia"/>
                <w:bCs/>
                <w:kern w:val="0"/>
                <w:szCs w:val="21"/>
              </w:rPr>
            </w:pPr>
          </w:p>
        </w:tc>
        <w:tc>
          <w:tcPr>
            <w:tcW w:w="426" w:type="dxa"/>
            <w:vAlign w:val="center"/>
          </w:tcPr>
          <w:p>
            <w:pPr>
              <w:widowControl/>
              <w:spacing w:line="300" w:lineRule="exact"/>
              <w:jc w:val="center"/>
              <w:rPr>
                <w:rFonts w:asciiTheme="minorEastAsia" w:hAnsiTheme="minorEastAsia" w:eastAsiaTheme="minorEastAsia"/>
                <w:bCs/>
                <w:kern w:val="0"/>
                <w:szCs w:val="21"/>
              </w:rPr>
            </w:pPr>
          </w:p>
        </w:tc>
        <w:tc>
          <w:tcPr>
            <w:tcW w:w="326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6.5</w:t>
            </w:r>
          </w:p>
        </w:tc>
        <w:tc>
          <w:tcPr>
            <w:tcW w:w="13606"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425"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425" w:type="dxa"/>
            <w:vAlign w:val="center"/>
          </w:tcPr>
          <w:p>
            <w:pPr>
              <w:widowControl/>
              <w:spacing w:line="300" w:lineRule="exact"/>
              <w:jc w:val="center"/>
              <w:rPr>
                <w:rFonts w:asciiTheme="minorEastAsia" w:hAnsiTheme="minorEastAsia" w:eastAsiaTheme="minorEastAsia"/>
                <w:szCs w:val="21"/>
              </w:rPr>
            </w:pPr>
          </w:p>
        </w:tc>
        <w:tc>
          <w:tcPr>
            <w:tcW w:w="426" w:type="dxa"/>
            <w:vAlign w:val="center"/>
          </w:tcPr>
          <w:p>
            <w:pPr>
              <w:widowControl/>
              <w:spacing w:line="300" w:lineRule="exact"/>
              <w:jc w:val="center"/>
              <w:rPr>
                <w:rFonts w:asciiTheme="minorEastAsia" w:hAnsiTheme="minorEastAsia" w:eastAsiaTheme="minorEastAsia"/>
                <w:szCs w:val="21"/>
              </w:rPr>
            </w:pPr>
          </w:p>
        </w:tc>
        <w:tc>
          <w:tcPr>
            <w:tcW w:w="326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铸造实验场地宽敞、通道畅通，实验时穿好劳动保护服装</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电气设备所用的保险丝(管)的额定电流应与其负荷容量相适应，无用其它金属线代替保险丝(片)现象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pPr>
              <w:widowControl/>
              <w:spacing w:line="300" w:lineRule="exact"/>
              <w:jc w:val="center"/>
              <w:rPr>
                <w:b/>
                <w:bCs/>
                <w:kern w:val="0"/>
                <w:szCs w:val="21"/>
              </w:rPr>
            </w:pPr>
          </w:p>
        </w:tc>
        <w:tc>
          <w:tcPr>
            <w:tcW w:w="425" w:type="dxa"/>
            <w:vAlign w:val="center"/>
          </w:tcPr>
          <w:p>
            <w:pPr>
              <w:widowControl/>
              <w:spacing w:line="300" w:lineRule="exact"/>
              <w:jc w:val="center"/>
              <w:rPr>
                <w:b/>
                <w:bCs/>
                <w:kern w:val="0"/>
                <w:szCs w:val="21"/>
              </w:rPr>
            </w:pPr>
          </w:p>
        </w:tc>
        <w:tc>
          <w:tcPr>
            <w:tcW w:w="426" w:type="dxa"/>
            <w:vAlign w:val="center"/>
          </w:tcPr>
          <w:p>
            <w:pPr>
              <w:widowControl/>
              <w:spacing w:line="300" w:lineRule="exact"/>
              <w:jc w:val="center"/>
              <w:rPr>
                <w:b/>
                <w:bCs/>
                <w:kern w:val="0"/>
                <w:szCs w:val="21"/>
              </w:rPr>
            </w:pPr>
          </w:p>
        </w:tc>
        <w:tc>
          <w:tcPr>
            <w:tcW w:w="326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实行使用登记制度，及时填写“使用登记表”</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pPr>
              <w:widowControl/>
              <w:spacing w:line="300" w:lineRule="exact"/>
              <w:jc w:val="center"/>
              <w:rPr>
                <w:bCs/>
                <w:kern w:val="0"/>
                <w:szCs w:val="21"/>
              </w:rPr>
            </w:pPr>
          </w:p>
        </w:tc>
        <w:tc>
          <w:tcPr>
            <w:tcW w:w="425" w:type="dxa"/>
            <w:vAlign w:val="center"/>
          </w:tcPr>
          <w:p>
            <w:pPr>
              <w:widowControl/>
              <w:spacing w:line="300" w:lineRule="exact"/>
              <w:jc w:val="center"/>
              <w:rPr>
                <w:bCs/>
                <w:kern w:val="0"/>
                <w:szCs w:val="21"/>
              </w:rPr>
            </w:pPr>
          </w:p>
        </w:tc>
        <w:tc>
          <w:tcPr>
            <w:tcW w:w="426" w:type="dxa"/>
            <w:vAlign w:val="center"/>
          </w:tcPr>
          <w:p>
            <w:pPr>
              <w:widowControl/>
              <w:spacing w:line="300" w:lineRule="exact"/>
              <w:jc w:val="center"/>
              <w:rPr>
                <w:bCs/>
                <w:kern w:val="0"/>
                <w:szCs w:val="21"/>
              </w:rPr>
            </w:pPr>
          </w:p>
        </w:tc>
        <w:tc>
          <w:tcPr>
            <w:tcW w:w="326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pPr>
              <w:widowControl/>
              <w:spacing w:line="300" w:lineRule="exact"/>
              <w:jc w:val="center"/>
              <w:rPr>
                <w:kern w:val="0"/>
                <w:szCs w:val="21"/>
              </w:rPr>
            </w:pPr>
          </w:p>
        </w:tc>
        <w:tc>
          <w:tcPr>
            <w:tcW w:w="425" w:type="dxa"/>
            <w:vAlign w:val="center"/>
          </w:tcPr>
          <w:p>
            <w:pPr>
              <w:widowControl/>
              <w:spacing w:line="300" w:lineRule="exact"/>
              <w:jc w:val="center"/>
              <w:rPr>
                <w:kern w:val="0"/>
                <w:szCs w:val="21"/>
              </w:rPr>
            </w:pPr>
          </w:p>
        </w:tc>
        <w:tc>
          <w:tcPr>
            <w:tcW w:w="426" w:type="dxa"/>
            <w:vAlign w:val="center"/>
          </w:tcPr>
          <w:p>
            <w:pPr>
              <w:widowControl/>
              <w:spacing w:line="300" w:lineRule="exact"/>
              <w:jc w:val="center"/>
              <w:rPr>
                <w:kern w:val="0"/>
                <w:szCs w:val="21"/>
              </w:rPr>
            </w:pPr>
          </w:p>
        </w:tc>
        <w:tc>
          <w:tcPr>
            <w:tcW w:w="3260" w:type="dxa"/>
            <w:vAlign w:val="center"/>
          </w:tcPr>
          <w:p>
            <w:pPr>
              <w:widowControl/>
              <w:spacing w:line="300" w:lineRule="exact"/>
              <w:jc w:val="left"/>
              <w:rPr>
                <w:kern w:val="0"/>
                <w:szCs w:val="21"/>
              </w:rPr>
            </w:pPr>
          </w:p>
        </w:tc>
      </w:tr>
    </w:tbl>
    <w:p>
      <w:pPr>
        <w:adjustRightInd w:val="0"/>
        <w:snapToGrid w:val="0"/>
        <w:spacing w:beforeLines="50"/>
        <w:jc w:val="left"/>
      </w:pPr>
    </w:p>
    <w:sectPr>
      <w:footerReference r:id="rId3" w:type="default"/>
      <w:pgSz w:w="16838" w:h="11906" w:orient="landscape"/>
      <w:pgMar w:top="1247" w:right="141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680932"/>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33B6"/>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02EC"/>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821"/>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809"/>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16CF"/>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3E141817"/>
    <w:rsid w:val="54E86EE4"/>
    <w:rsid w:val="5D4E5899"/>
    <w:rsid w:val="60895EF6"/>
    <w:rsid w:val="61312E08"/>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18">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51"/>
    <w:semiHidden/>
    <w:qFormat/>
    <w:uiPriority w:val="0"/>
    <w:rPr>
      <w:b/>
      <w:bCs/>
    </w:rPr>
  </w:style>
  <w:style w:type="paragraph" w:styleId="5">
    <w:name w:val="annotation text"/>
    <w:basedOn w:val="1"/>
    <w:link w:val="50"/>
    <w:qFormat/>
    <w:uiPriority w:val="0"/>
    <w:pPr>
      <w:spacing w:line="460" w:lineRule="exact"/>
      <w:jc w:val="left"/>
    </w:pPr>
    <w:rPr>
      <w:rFonts w:ascii="Calibri" w:hAnsi="Calibri"/>
      <w:szCs w:val="21"/>
    </w:rPr>
  </w:style>
  <w:style w:type="paragraph" w:styleId="6">
    <w:name w:val="caption"/>
    <w:basedOn w:val="1"/>
    <w:next w:val="1"/>
    <w:qFormat/>
    <w:uiPriority w:val="0"/>
    <w:pPr>
      <w:spacing w:before="152" w:after="160" w:line="460" w:lineRule="exact"/>
    </w:pPr>
    <w:rPr>
      <w:rFonts w:ascii="Arial" w:hAnsi="Arial" w:eastAsia="黑体"/>
      <w:szCs w:val="20"/>
    </w:rPr>
  </w:style>
  <w:style w:type="paragraph" w:styleId="7">
    <w:name w:val="Document Map"/>
    <w:basedOn w:val="1"/>
    <w:link w:val="29"/>
    <w:semiHidden/>
    <w:qFormat/>
    <w:uiPriority w:val="0"/>
    <w:rPr>
      <w:rFonts w:ascii="宋体"/>
      <w:kern w:val="0"/>
      <w:sz w:val="18"/>
      <w:szCs w:val="18"/>
    </w:rPr>
  </w:style>
  <w:style w:type="paragraph" w:styleId="8">
    <w:name w:val="Body Text"/>
    <w:basedOn w:val="1"/>
    <w:link w:val="45"/>
    <w:qFormat/>
    <w:uiPriority w:val="0"/>
    <w:pPr>
      <w:spacing w:line="380" w:lineRule="exact"/>
    </w:pPr>
    <w:rPr>
      <w:rFonts w:eastAsia="仿宋_GB2312"/>
      <w:sz w:val="28"/>
      <w:szCs w:val="20"/>
    </w:rPr>
  </w:style>
  <w:style w:type="paragraph" w:styleId="9">
    <w:name w:val="Body Text Indent"/>
    <w:basedOn w:val="1"/>
    <w:link w:val="38"/>
    <w:qFormat/>
    <w:uiPriority w:val="0"/>
    <w:pPr>
      <w:spacing w:line="460" w:lineRule="exact"/>
      <w:ind w:firstLine="630"/>
    </w:pPr>
    <w:rPr>
      <w:rFonts w:ascii="仿宋_GB2312" w:eastAsia="仿宋_GB2312"/>
      <w:sz w:val="32"/>
      <w:szCs w:val="20"/>
    </w:rPr>
  </w:style>
  <w:style w:type="paragraph" w:styleId="10">
    <w:name w:val="Plain Text"/>
    <w:basedOn w:val="1"/>
    <w:link w:val="44"/>
    <w:qFormat/>
    <w:uiPriority w:val="0"/>
    <w:pPr>
      <w:spacing w:line="460" w:lineRule="exact"/>
    </w:pPr>
    <w:rPr>
      <w:rFonts w:ascii="宋体" w:hAnsi="Courier New"/>
      <w:szCs w:val="20"/>
    </w:rPr>
  </w:style>
  <w:style w:type="paragraph" w:styleId="11">
    <w:name w:val="Date"/>
    <w:basedOn w:val="1"/>
    <w:next w:val="1"/>
    <w:link w:val="32"/>
    <w:qFormat/>
    <w:uiPriority w:val="0"/>
    <w:pPr>
      <w:ind w:left="100" w:leftChars="2500"/>
    </w:pPr>
    <w:rPr>
      <w:kern w:val="0"/>
      <w:sz w:val="24"/>
    </w:rPr>
  </w:style>
  <w:style w:type="paragraph" w:styleId="12">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3">
    <w:name w:val="Balloon Text"/>
    <w:basedOn w:val="1"/>
    <w:link w:val="31"/>
    <w:semiHidden/>
    <w:qFormat/>
    <w:uiPriority w:val="0"/>
    <w:rPr>
      <w:kern w:val="0"/>
      <w:sz w:val="18"/>
      <w:szCs w:val="18"/>
    </w:rPr>
  </w:style>
  <w:style w:type="paragraph" w:styleId="14">
    <w:name w:val="footer"/>
    <w:basedOn w:val="1"/>
    <w:link w:val="28"/>
    <w:qFormat/>
    <w:uiPriority w:val="99"/>
    <w:pPr>
      <w:tabs>
        <w:tab w:val="center" w:pos="4153"/>
        <w:tab w:val="right" w:pos="8306"/>
      </w:tabs>
      <w:snapToGrid w:val="0"/>
      <w:jc w:val="left"/>
    </w:pPr>
    <w:rPr>
      <w:kern w:val="0"/>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7">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character" w:styleId="19">
    <w:name w:val="page number"/>
    <w:qFormat/>
    <w:uiPriority w:val="0"/>
    <w:rPr>
      <w:rFonts w:cs="Times New Roman"/>
    </w:rPr>
  </w:style>
  <w:style w:type="character" w:styleId="20">
    <w:name w:val="FollowedHyperlink"/>
    <w:qFormat/>
    <w:uiPriority w:val="0"/>
    <w:rPr>
      <w:rFonts w:cs="Times New Roman"/>
      <w:color w:val="800080"/>
      <w:u w:val="single"/>
    </w:rPr>
  </w:style>
  <w:style w:type="character" w:styleId="21">
    <w:name w:val="Hyperlink"/>
    <w:qFormat/>
    <w:uiPriority w:val="0"/>
    <w:rPr>
      <w:rFonts w:cs="Times New Roman"/>
      <w:color w:val="1B227E"/>
      <w:u w:val="none"/>
    </w:rPr>
  </w:style>
  <w:style w:type="character" w:styleId="22">
    <w:name w:val="annotation reference"/>
    <w:semiHidden/>
    <w:qFormat/>
    <w:uiPriority w:val="0"/>
    <w:rPr>
      <w:rFonts w:cs="Times New Roman"/>
      <w:sz w:val="21"/>
      <w:szCs w:val="21"/>
    </w:rPr>
  </w:style>
  <w:style w:type="character" w:styleId="23">
    <w:name w:val="footnote reference"/>
    <w:semiHidden/>
    <w:qFormat/>
    <w:uiPriority w:val="0"/>
    <w:rPr>
      <w:rFonts w:cs="Times New Roman"/>
      <w:vertAlign w:val="superscript"/>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列出段落1"/>
    <w:basedOn w:val="1"/>
    <w:qFormat/>
    <w:uiPriority w:val="0"/>
    <w:pPr>
      <w:ind w:firstLine="420" w:firstLineChars="200"/>
    </w:pPr>
  </w:style>
  <w:style w:type="character" w:customStyle="1" w:styleId="27">
    <w:name w:val="页眉 Char"/>
    <w:link w:val="15"/>
    <w:qFormat/>
    <w:locked/>
    <w:uiPriority w:val="0"/>
    <w:rPr>
      <w:rFonts w:cs="Times New Roman"/>
      <w:sz w:val="18"/>
      <w:szCs w:val="18"/>
    </w:rPr>
  </w:style>
  <w:style w:type="character" w:customStyle="1" w:styleId="28">
    <w:name w:val="页脚 Char"/>
    <w:link w:val="14"/>
    <w:qFormat/>
    <w:locked/>
    <w:uiPriority w:val="99"/>
    <w:rPr>
      <w:rFonts w:cs="Times New Roman"/>
      <w:sz w:val="18"/>
      <w:szCs w:val="18"/>
    </w:rPr>
  </w:style>
  <w:style w:type="character" w:customStyle="1" w:styleId="29">
    <w:name w:val="文档结构图 Char"/>
    <w:link w:val="7"/>
    <w:qFormat/>
    <w:locked/>
    <w:uiPriority w:val="0"/>
    <w:rPr>
      <w:rFonts w:ascii="宋体" w:cs="Times New Roman"/>
      <w:sz w:val="18"/>
      <w:szCs w:val="18"/>
    </w:rPr>
  </w:style>
  <w:style w:type="character" w:customStyle="1" w:styleId="30">
    <w:name w:val="标题 1 Char"/>
    <w:link w:val="2"/>
    <w:qFormat/>
    <w:locked/>
    <w:uiPriority w:val="0"/>
    <w:rPr>
      <w:rFonts w:cs="Times New Roman"/>
      <w:b/>
      <w:bCs/>
      <w:kern w:val="44"/>
      <w:sz w:val="44"/>
      <w:szCs w:val="44"/>
    </w:rPr>
  </w:style>
  <w:style w:type="character" w:customStyle="1" w:styleId="31">
    <w:name w:val="批注框文本 Char"/>
    <w:link w:val="13"/>
    <w:qFormat/>
    <w:locked/>
    <w:uiPriority w:val="0"/>
    <w:rPr>
      <w:rFonts w:cs="Times New Roman"/>
      <w:sz w:val="18"/>
      <w:szCs w:val="18"/>
    </w:rPr>
  </w:style>
  <w:style w:type="character" w:customStyle="1" w:styleId="32">
    <w:name w:val="日期 Char"/>
    <w:link w:val="11"/>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qFormat/>
    <w:locked/>
    <w:uiPriority w:val="0"/>
    <w:rPr>
      <w:rFonts w:ascii="宋体" w:eastAsia="宋体" w:cs="Times New Roman"/>
      <w:b/>
      <w:bCs/>
      <w:sz w:val="36"/>
      <w:szCs w:val="36"/>
    </w:rPr>
  </w:style>
  <w:style w:type="character" w:customStyle="1" w:styleId="35">
    <w:name w:val="正文文本缩进 3 Char"/>
    <w:link w:val="16"/>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9"/>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2"/>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10"/>
    <w:qFormat/>
    <w:locked/>
    <w:uiPriority w:val="0"/>
    <w:rPr>
      <w:rFonts w:ascii="宋体" w:hAnsi="Courier New" w:cs="Times New Roman"/>
      <w:kern w:val="2"/>
      <w:sz w:val="21"/>
    </w:rPr>
  </w:style>
  <w:style w:type="character" w:customStyle="1" w:styleId="45">
    <w:name w:val="正文文本 Char"/>
    <w:link w:val="8"/>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5"/>
    <w:qFormat/>
    <w:locked/>
    <w:uiPriority w:val="0"/>
    <w:rPr>
      <w:rFonts w:ascii="Calibri" w:hAnsi="Calibri" w:cs="Calibri"/>
      <w:kern w:val="2"/>
      <w:sz w:val="21"/>
      <w:szCs w:val="21"/>
    </w:rPr>
  </w:style>
  <w:style w:type="character" w:customStyle="1" w:styleId="51">
    <w:name w:val="批注主题 Char"/>
    <w:link w:val="4"/>
    <w:semiHidden/>
    <w:qFormat/>
    <w:locked/>
    <w:uiPriority w:val="0"/>
    <w:rPr>
      <w:rFonts w:ascii="Calibri" w:hAnsi="Calibri" w:cs="Calibri"/>
      <w:b/>
      <w:bCs/>
      <w:kern w:val="2"/>
      <w:sz w:val="21"/>
      <w:szCs w:val="21"/>
    </w:rPr>
  </w:style>
  <w:style w:type="paragraph" w:customStyle="1" w:styleId="5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BAB7B-D18A-4B15-97A8-EDC8681CBA7E}">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30</Pages>
  <Words>3246</Words>
  <Characters>18505</Characters>
  <Lines>154</Lines>
  <Paragraphs>43</Paragraphs>
  <ScaleCrop>false</ScaleCrop>
  <LinksUpToDate>false</LinksUpToDate>
  <CharactersWithSpaces>21708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2017-07-17T07:47:00Z</dcterms:created>
  <dc:creator>LIU</dc:creator>
  <cp:lastModifiedBy>Administrator</cp:lastModifiedBy>
  <cp:lastPrinted>2016-09-26T02:07:00Z</cp:lastPrinted>
  <dcterms:modified xsi:type="dcterms:W3CDTF">2017-09-13T07:36:04Z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